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A1A5" w14:textId="2113037F" w:rsidR="00FE067E" w:rsidRPr="00DB5559" w:rsidRDefault="00CD36CF" w:rsidP="00CC1F3B">
      <w:pPr>
        <w:pStyle w:val="TitlePageOrigin"/>
        <w:rPr>
          <w:color w:val="auto"/>
        </w:rPr>
      </w:pPr>
      <w:r w:rsidRPr="00DB5559">
        <w:rPr>
          <w:color w:val="auto"/>
        </w:rPr>
        <w:t>WEST virginia legislature</w:t>
      </w:r>
    </w:p>
    <w:p w14:paraId="18CF22B1" w14:textId="2EC43B46" w:rsidR="00CD36CF" w:rsidRPr="00DB5559" w:rsidRDefault="00CD36CF" w:rsidP="00CC1F3B">
      <w:pPr>
        <w:pStyle w:val="TitlePageSession"/>
        <w:rPr>
          <w:color w:val="auto"/>
        </w:rPr>
      </w:pPr>
      <w:r w:rsidRPr="00DB5559">
        <w:rPr>
          <w:color w:val="auto"/>
        </w:rPr>
        <w:t>20</w:t>
      </w:r>
      <w:r w:rsidR="00562557" w:rsidRPr="00DB5559">
        <w:rPr>
          <w:color w:val="auto"/>
        </w:rPr>
        <w:t>2</w:t>
      </w:r>
      <w:r w:rsidR="00B34C8F">
        <w:rPr>
          <w:color w:val="auto"/>
        </w:rPr>
        <w:t>2</w:t>
      </w:r>
      <w:r w:rsidRPr="00DB5559">
        <w:rPr>
          <w:color w:val="auto"/>
        </w:rPr>
        <w:t xml:space="preserve"> regular session</w:t>
      </w:r>
    </w:p>
    <w:p w14:paraId="5D729B91" w14:textId="77777777" w:rsidR="00CD36CF" w:rsidRPr="00DB5559" w:rsidRDefault="00DA769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B5559">
            <w:rPr>
              <w:color w:val="auto"/>
            </w:rPr>
            <w:t>Introduced</w:t>
          </w:r>
        </w:sdtContent>
      </w:sdt>
    </w:p>
    <w:p w14:paraId="10C6FD85" w14:textId="3E8A66EE" w:rsidR="00CD36CF" w:rsidRPr="00DB5559" w:rsidRDefault="00DA769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B5559">
            <w:rPr>
              <w:color w:val="auto"/>
            </w:rPr>
            <w:t>House</w:t>
          </w:r>
        </w:sdtContent>
      </w:sdt>
      <w:r w:rsidR="00303684" w:rsidRPr="00DB5559">
        <w:rPr>
          <w:color w:val="auto"/>
        </w:rPr>
        <w:t xml:space="preserve"> </w:t>
      </w:r>
      <w:r w:rsidR="00CD36CF" w:rsidRPr="00DB5559">
        <w:rPr>
          <w:color w:val="auto"/>
        </w:rPr>
        <w:t xml:space="preserve">Bill </w:t>
      </w:r>
      <w:sdt>
        <w:sdtPr>
          <w:rPr>
            <w:color w:val="auto"/>
          </w:rPr>
          <w:tag w:val="BNum"/>
          <w:id w:val="1645317809"/>
          <w:lock w:val="sdtLocked"/>
          <w:placeholder>
            <w:docPart w:val="20C22F1B7FBD4C33B249773D07E082F8"/>
          </w:placeholder>
          <w:text/>
        </w:sdtPr>
        <w:sdtEndPr/>
        <w:sdtContent>
          <w:r w:rsidR="003B40D6">
            <w:rPr>
              <w:color w:val="auto"/>
            </w:rPr>
            <w:t>2300</w:t>
          </w:r>
        </w:sdtContent>
      </w:sdt>
    </w:p>
    <w:p w14:paraId="3CF883C0" w14:textId="706F8BCB" w:rsidR="00CD36CF" w:rsidRPr="00DB5559" w:rsidRDefault="00CD36CF" w:rsidP="00CC1F3B">
      <w:pPr>
        <w:pStyle w:val="Sponsors"/>
        <w:rPr>
          <w:color w:val="auto"/>
        </w:rPr>
      </w:pPr>
      <w:r w:rsidRPr="00DB5559">
        <w:rPr>
          <w:color w:val="auto"/>
        </w:rPr>
        <w:t xml:space="preserve">By </w:t>
      </w:r>
      <w:sdt>
        <w:sdtPr>
          <w:rPr>
            <w:color w:val="auto"/>
          </w:rPr>
          <w:tag w:val="Sponsors"/>
          <w:id w:val="1589585889"/>
          <w:placeholder>
            <w:docPart w:val="D3DF987F6921417FB42A59748B040B52"/>
          </w:placeholder>
          <w:text w:multiLine="1"/>
        </w:sdtPr>
        <w:sdtEndPr/>
        <w:sdtContent>
          <w:r w:rsidR="00A63DD0" w:rsidRPr="00DB5559">
            <w:rPr>
              <w:color w:val="auto"/>
            </w:rPr>
            <w:t>Delegate</w:t>
          </w:r>
          <w:r w:rsidR="00167DE0">
            <w:rPr>
              <w:color w:val="auto"/>
            </w:rPr>
            <w:t>s</w:t>
          </w:r>
          <w:r w:rsidR="00E02B32" w:rsidRPr="00DB5559">
            <w:rPr>
              <w:color w:val="auto"/>
            </w:rPr>
            <w:t xml:space="preserve"> </w:t>
          </w:r>
          <w:r w:rsidR="00A63DD0" w:rsidRPr="00DB5559">
            <w:rPr>
              <w:color w:val="auto"/>
            </w:rPr>
            <w:t>Foster</w:t>
          </w:r>
          <w:r w:rsidR="00B34C8F">
            <w:rPr>
              <w:color w:val="auto"/>
            </w:rPr>
            <w:t xml:space="preserve">, </w:t>
          </w:r>
          <w:r w:rsidR="00167DE0">
            <w:rPr>
              <w:color w:val="auto"/>
            </w:rPr>
            <w:t>Fast</w:t>
          </w:r>
          <w:r w:rsidR="0057223B">
            <w:rPr>
              <w:color w:val="auto"/>
            </w:rPr>
            <w:t xml:space="preserve">, </w:t>
          </w:r>
          <w:r w:rsidR="00B34C8F">
            <w:rPr>
              <w:color w:val="auto"/>
            </w:rPr>
            <w:t>Lovejoy</w:t>
          </w:r>
          <w:r w:rsidR="0057223B">
            <w:rPr>
              <w:color w:val="auto"/>
            </w:rPr>
            <w:t xml:space="preserve"> and Hott</w:t>
          </w:r>
        </w:sdtContent>
      </w:sdt>
    </w:p>
    <w:p w14:paraId="39AC9957" w14:textId="77777777" w:rsidR="00DA7696" w:rsidRDefault="00CD36CF" w:rsidP="00D45EDF">
      <w:pPr>
        <w:pStyle w:val="References"/>
        <w:rPr>
          <w:color w:val="auto"/>
        </w:rPr>
        <w:sectPr w:rsidR="00DA7696" w:rsidSect="00CC73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5559">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3B40D6">
            <w:rPr>
              <w:rFonts w:eastAsiaTheme="minorHAnsi"/>
              <w:color w:val="auto"/>
              <w:sz w:val="22"/>
            </w:rPr>
            <w:t xml:space="preserve">Introduced </w:t>
          </w:r>
          <w:r w:rsidR="00B34C8F">
            <w:rPr>
              <w:rFonts w:eastAsiaTheme="minorHAnsi"/>
              <w:color w:val="auto"/>
              <w:sz w:val="22"/>
            </w:rPr>
            <w:t>January</w:t>
          </w:r>
          <w:r w:rsidR="003B40D6">
            <w:rPr>
              <w:rFonts w:eastAsiaTheme="minorHAnsi"/>
              <w:color w:val="auto"/>
              <w:sz w:val="22"/>
            </w:rPr>
            <w:t xml:space="preserve"> 1</w:t>
          </w:r>
          <w:r w:rsidR="00B34C8F">
            <w:rPr>
              <w:rFonts w:eastAsiaTheme="minorHAnsi"/>
              <w:color w:val="auto"/>
              <w:sz w:val="22"/>
            </w:rPr>
            <w:t>2</w:t>
          </w:r>
          <w:r w:rsidR="003B40D6">
            <w:rPr>
              <w:rFonts w:eastAsiaTheme="minorHAnsi"/>
              <w:color w:val="auto"/>
              <w:sz w:val="22"/>
            </w:rPr>
            <w:t>, 202</w:t>
          </w:r>
          <w:r w:rsidR="00B34C8F">
            <w:rPr>
              <w:rFonts w:eastAsiaTheme="minorHAnsi"/>
              <w:color w:val="auto"/>
              <w:sz w:val="22"/>
            </w:rPr>
            <w:t>2</w:t>
          </w:r>
          <w:r w:rsidR="003B40D6">
            <w:rPr>
              <w:rFonts w:eastAsiaTheme="minorHAnsi"/>
              <w:color w:val="auto"/>
              <w:sz w:val="22"/>
            </w:rPr>
            <w:t xml:space="preserve">; </w:t>
          </w:r>
          <w:r w:rsidR="00DA7696">
            <w:rPr>
              <w:rFonts w:eastAsiaTheme="minorHAnsi"/>
              <w:color w:val="auto"/>
              <w:sz w:val="22"/>
            </w:rPr>
            <w:t>r</w:t>
          </w:r>
          <w:r w:rsidR="003B40D6">
            <w:rPr>
              <w:rFonts w:eastAsiaTheme="minorHAnsi"/>
              <w:color w:val="auto"/>
              <w:sz w:val="22"/>
            </w:rPr>
            <w:t>eferred to the Committee on Pensions and Retirement then Finance</w:t>
          </w:r>
        </w:sdtContent>
      </w:sdt>
      <w:r w:rsidRPr="00DB5559">
        <w:rPr>
          <w:color w:val="auto"/>
        </w:rPr>
        <w:t>]</w:t>
      </w:r>
    </w:p>
    <w:p w14:paraId="24E32B94" w14:textId="06850F67" w:rsidR="00E831B3" w:rsidRPr="00DB5559" w:rsidRDefault="00E831B3" w:rsidP="00D45EDF">
      <w:pPr>
        <w:pStyle w:val="References"/>
        <w:rPr>
          <w:color w:val="auto"/>
        </w:rPr>
      </w:pPr>
    </w:p>
    <w:p w14:paraId="3A0B838A" w14:textId="6F6AC015" w:rsidR="00303684" w:rsidRPr="00DB5559" w:rsidRDefault="0000526A" w:rsidP="00DA7696">
      <w:pPr>
        <w:pStyle w:val="TitleSection"/>
        <w:rPr>
          <w:color w:val="auto"/>
        </w:rPr>
      </w:pPr>
      <w:r w:rsidRPr="00DB5559">
        <w:rPr>
          <w:color w:val="auto"/>
        </w:rPr>
        <w:lastRenderedPageBreak/>
        <w:t>A BILL</w:t>
      </w:r>
      <w:r w:rsidR="00A63DD0" w:rsidRPr="00DB5559">
        <w:rPr>
          <w:color w:val="auto"/>
        </w:rPr>
        <w:t xml:space="preserve"> to amend and reenact §51-9-1a of the Code of West Virginia, 1931, as amended, relating to including family court judges in the Judges</w:t>
      </w:r>
      <w:r w:rsidR="00DA7696">
        <w:rPr>
          <w:color w:val="auto"/>
        </w:rPr>
        <w:t>’</w:t>
      </w:r>
      <w:r w:rsidR="00A63DD0" w:rsidRPr="00DB5559">
        <w:rPr>
          <w:color w:val="auto"/>
        </w:rPr>
        <w:t xml:space="preserve"> Retirement System.</w:t>
      </w:r>
    </w:p>
    <w:p w14:paraId="66C21681" w14:textId="77777777" w:rsidR="00303684" w:rsidRPr="00DB5559" w:rsidRDefault="00303684" w:rsidP="00DA7696">
      <w:pPr>
        <w:pStyle w:val="EnactingClause"/>
        <w:rPr>
          <w:color w:val="auto"/>
        </w:rPr>
        <w:sectPr w:rsidR="00303684" w:rsidRPr="00DB5559" w:rsidSect="00DA7696">
          <w:pgSz w:w="12240" w:h="15840" w:code="1"/>
          <w:pgMar w:top="1440" w:right="1440" w:bottom="1440" w:left="1440" w:header="720" w:footer="720" w:gutter="0"/>
          <w:lnNumType w:countBy="1" w:restart="newSection"/>
          <w:pgNumType w:start="0"/>
          <w:cols w:space="720"/>
          <w:titlePg/>
          <w:docGrid w:linePitch="360"/>
        </w:sectPr>
      </w:pPr>
      <w:r w:rsidRPr="00DB5559">
        <w:rPr>
          <w:color w:val="auto"/>
        </w:rPr>
        <w:t>Be it enacted by the Legislature of West Virginia:</w:t>
      </w:r>
    </w:p>
    <w:p w14:paraId="3EE636BE" w14:textId="77777777" w:rsidR="00A63DD0" w:rsidRPr="00DB5559" w:rsidRDefault="00A63DD0" w:rsidP="00DA7696">
      <w:pPr>
        <w:pStyle w:val="ArticleHeading"/>
        <w:widowControl/>
        <w:rPr>
          <w:color w:val="auto"/>
        </w:rPr>
        <w:sectPr w:rsidR="00A63DD0" w:rsidRPr="00DB5559" w:rsidSect="00CC7326">
          <w:type w:val="continuous"/>
          <w:pgSz w:w="12240" w:h="15840"/>
          <w:pgMar w:top="1440" w:right="1440" w:bottom="1440" w:left="1440" w:header="720" w:footer="720" w:gutter="0"/>
          <w:cols w:space="720"/>
          <w:noEndnote/>
          <w:docGrid w:linePitch="299"/>
        </w:sectPr>
      </w:pPr>
      <w:r w:rsidRPr="00DB5559">
        <w:rPr>
          <w:color w:val="auto"/>
        </w:rPr>
        <w:t>ARTICLE 9. RETIREMENT SYSTEM FOR JUDGES OF COURTS OF RECORD.</w:t>
      </w:r>
    </w:p>
    <w:p w14:paraId="20CEF5BC" w14:textId="77777777" w:rsidR="00A63DD0" w:rsidRPr="00DB5559" w:rsidRDefault="00A63DD0" w:rsidP="00DA7696">
      <w:pPr>
        <w:pStyle w:val="SectionHeading"/>
        <w:widowControl/>
        <w:rPr>
          <w:color w:val="auto"/>
        </w:rPr>
      </w:pPr>
      <w:r w:rsidRPr="00DB5559">
        <w:rPr>
          <w:color w:val="auto"/>
        </w:rPr>
        <w:t>§51-9-1a. Definitions.</w:t>
      </w:r>
    </w:p>
    <w:p w14:paraId="3EB5F78D" w14:textId="73EFBAA8" w:rsidR="00A63DD0" w:rsidRPr="00DB5559" w:rsidRDefault="00A63DD0" w:rsidP="00DA7696">
      <w:pPr>
        <w:pStyle w:val="SectionBody"/>
        <w:widowControl/>
        <w:rPr>
          <w:color w:val="auto"/>
        </w:rPr>
      </w:pPr>
      <w:r w:rsidRPr="00DB5559">
        <w:rPr>
          <w:color w:val="auto"/>
        </w:rPr>
        <w:t xml:space="preserve">(a) As used in this article, the term </w:t>
      </w:r>
      <w:r w:rsidR="00DA7696">
        <w:rPr>
          <w:color w:val="auto"/>
        </w:rPr>
        <w:t>“</w:t>
      </w:r>
      <w:r w:rsidRPr="00DB5559">
        <w:rPr>
          <w:color w:val="auto"/>
        </w:rPr>
        <w:t>judge</w:t>
      </w:r>
      <w:r w:rsidR="00DA7696">
        <w:rPr>
          <w:color w:val="auto"/>
        </w:rPr>
        <w:t>”</w:t>
      </w:r>
      <w:r w:rsidRPr="00DB5559">
        <w:rPr>
          <w:color w:val="auto"/>
        </w:rPr>
        <w:t xml:space="preserve">, </w:t>
      </w:r>
      <w:r w:rsidR="00DA7696">
        <w:rPr>
          <w:color w:val="auto"/>
        </w:rPr>
        <w:t>“</w:t>
      </w:r>
      <w:r w:rsidRPr="00DB5559">
        <w:rPr>
          <w:color w:val="auto"/>
        </w:rPr>
        <w:t>judge of any court of record</w:t>
      </w:r>
      <w:r w:rsidR="00DA7696">
        <w:rPr>
          <w:color w:val="auto"/>
        </w:rPr>
        <w:t>”</w:t>
      </w:r>
      <w:r w:rsidRPr="00DB5559">
        <w:rPr>
          <w:color w:val="auto"/>
        </w:rPr>
        <w:t xml:space="preserve"> or </w:t>
      </w:r>
      <w:r w:rsidR="00DA7696">
        <w:rPr>
          <w:color w:val="auto"/>
        </w:rPr>
        <w:t>“</w:t>
      </w:r>
      <w:r w:rsidRPr="00DB5559">
        <w:rPr>
          <w:color w:val="auto"/>
        </w:rPr>
        <w:t>judge of any court of record of this state</w:t>
      </w:r>
      <w:r w:rsidR="00DA7696">
        <w:rPr>
          <w:color w:val="auto"/>
        </w:rPr>
        <w:t>”</w:t>
      </w:r>
      <w:r w:rsidRPr="00DB5559">
        <w:rPr>
          <w:color w:val="auto"/>
        </w:rPr>
        <w:t xml:space="preserve"> means, refers to and includes judges of the several </w:t>
      </w:r>
      <w:r w:rsidRPr="00DB5559">
        <w:rPr>
          <w:color w:val="auto"/>
          <w:u w:val="single"/>
        </w:rPr>
        <w:t>family courts,</w:t>
      </w:r>
      <w:r w:rsidR="003970E0" w:rsidRPr="00DB5559">
        <w:rPr>
          <w:color w:val="auto"/>
        </w:rPr>
        <w:t xml:space="preserve"> </w:t>
      </w:r>
      <w:r w:rsidRPr="00DB5559">
        <w:rPr>
          <w:color w:val="auto"/>
        </w:rPr>
        <w:t>circuit courts</w:t>
      </w:r>
      <w:r w:rsidR="004D6BAE">
        <w:rPr>
          <w:color w:val="auto"/>
        </w:rPr>
        <w:t xml:space="preserve">, judges of the intermediate court of appeals </w:t>
      </w:r>
      <w:r w:rsidRPr="00DB5559">
        <w:rPr>
          <w:color w:val="auto"/>
        </w:rPr>
        <w:t xml:space="preserve">and justices of the Supreme Court of Appeals. </w:t>
      </w:r>
      <w:r w:rsidRPr="00DB5559">
        <w:rPr>
          <w:strike/>
          <w:color w:val="auto"/>
        </w:rPr>
        <w:t>For purposes of this article, the terms do not mean, refer to</w:t>
      </w:r>
      <w:r w:rsidR="00D45EDF" w:rsidRPr="00DB5559">
        <w:rPr>
          <w:strike/>
          <w:color w:val="auto"/>
        </w:rPr>
        <w:t xml:space="preserve"> or include family court judges</w:t>
      </w:r>
    </w:p>
    <w:p w14:paraId="65E6B649" w14:textId="38C5F99F" w:rsidR="00A63DD0" w:rsidRPr="00DB5559" w:rsidRDefault="00A63DD0" w:rsidP="00DA7696">
      <w:pPr>
        <w:pStyle w:val="SectionBody"/>
        <w:widowControl/>
        <w:rPr>
          <w:color w:val="auto"/>
        </w:rPr>
      </w:pPr>
      <w:r w:rsidRPr="00DB5559">
        <w:rPr>
          <w:color w:val="auto"/>
        </w:rPr>
        <w:t xml:space="preserve">(b) </w:t>
      </w:r>
      <w:r w:rsidR="00DA7696">
        <w:rPr>
          <w:color w:val="auto"/>
        </w:rPr>
        <w:t>“</w:t>
      </w:r>
      <w:r w:rsidRPr="00DB5559">
        <w:rPr>
          <w:color w:val="auto"/>
        </w:rPr>
        <w:t>Actuarially equivalent</w:t>
      </w:r>
      <w:r w:rsidR="00DA7696">
        <w:rPr>
          <w:color w:val="auto"/>
        </w:rPr>
        <w:t>”</w:t>
      </w:r>
      <w:r w:rsidRPr="00DB5559">
        <w:rPr>
          <w:color w:val="auto"/>
        </w:rPr>
        <w:t xml:space="preserve"> or </w:t>
      </w:r>
      <w:r w:rsidR="00DA7696">
        <w:rPr>
          <w:color w:val="auto"/>
        </w:rPr>
        <w:t>“</w:t>
      </w:r>
      <w:r w:rsidRPr="00DB5559">
        <w:rPr>
          <w:color w:val="auto"/>
        </w:rPr>
        <w:t>of equal actuarial value</w:t>
      </w:r>
      <w:r w:rsidR="00DA7696">
        <w:rPr>
          <w:color w:val="auto"/>
        </w:rPr>
        <w:t>”</w:t>
      </w:r>
      <w:r w:rsidRPr="00DB5559">
        <w:rPr>
          <w:color w:val="auto"/>
        </w:rPr>
        <w:t xml:space="preserve"> means a benefit of equal value computed upon the basis of the mortality table and interest rates as set and adopted by the retirement board in accordance with the provisions of this article: </w:t>
      </w:r>
      <w:r w:rsidRPr="00DA7696">
        <w:rPr>
          <w:i/>
          <w:iCs/>
          <w:color w:val="auto"/>
        </w:rPr>
        <w:t>Provided</w:t>
      </w:r>
      <w:r w:rsidRPr="00DB5559">
        <w:rPr>
          <w:i/>
          <w:iCs/>
          <w:color w:val="auto"/>
        </w:rPr>
        <w:t>,</w:t>
      </w:r>
      <w:r w:rsidRPr="00DB5559">
        <w:rPr>
          <w:color w:val="auto"/>
        </w:rPr>
        <w:t xml:space="preserve"> That when used in the context of compliance with the federal maximum benefit requirements of Section 415 of the Internal Revenue Code, </w:t>
      </w:r>
      <w:r w:rsidR="00DA7696">
        <w:rPr>
          <w:color w:val="auto"/>
        </w:rPr>
        <w:t>“</w:t>
      </w:r>
      <w:r w:rsidRPr="00DB5559">
        <w:rPr>
          <w:color w:val="auto"/>
        </w:rPr>
        <w:t>actuarially equivalent</w:t>
      </w:r>
      <w:r w:rsidR="00DA7696">
        <w:rPr>
          <w:color w:val="auto"/>
        </w:rPr>
        <w:t>”</w:t>
      </w:r>
      <w:r w:rsidRPr="00DB5559">
        <w:rPr>
          <w:color w:val="auto"/>
        </w:rPr>
        <w:t xml:space="preserve"> shall be computed using the mortality tables and interest rates required to comply with those requirements.</w:t>
      </w:r>
    </w:p>
    <w:p w14:paraId="5EEBF518" w14:textId="6D3498F5" w:rsidR="00A63DD0" w:rsidRPr="00DB5559" w:rsidRDefault="00A63DD0" w:rsidP="00DA7696">
      <w:pPr>
        <w:pStyle w:val="SectionBody"/>
        <w:widowControl/>
        <w:rPr>
          <w:color w:val="auto"/>
        </w:rPr>
      </w:pPr>
      <w:r w:rsidRPr="00DB5559">
        <w:rPr>
          <w:color w:val="auto"/>
        </w:rPr>
        <w:t xml:space="preserve">(c) </w:t>
      </w:r>
      <w:r w:rsidR="00DA7696">
        <w:rPr>
          <w:color w:val="auto"/>
        </w:rPr>
        <w:t>“</w:t>
      </w:r>
      <w:r w:rsidRPr="00DB5559">
        <w:rPr>
          <w:color w:val="auto"/>
        </w:rPr>
        <w:t>Beneficiary</w:t>
      </w:r>
      <w:r w:rsidR="00DA7696">
        <w:rPr>
          <w:color w:val="auto"/>
        </w:rPr>
        <w:t>”</w:t>
      </w:r>
      <w:r w:rsidRPr="00DB5559">
        <w:rPr>
          <w:color w:val="auto"/>
        </w:rPr>
        <w:t xml:space="preserve"> means any person, except a member, who is entitled to an annuity or other benefit payable by the retirement system.</w:t>
      </w:r>
    </w:p>
    <w:p w14:paraId="1D268D1C" w14:textId="44BACD1C" w:rsidR="00A63DD0" w:rsidRPr="00DB5559" w:rsidRDefault="00A63DD0" w:rsidP="00DA7696">
      <w:pPr>
        <w:pStyle w:val="SectionBody"/>
        <w:widowControl/>
        <w:rPr>
          <w:color w:val="auto"/>
        </w:rPr>
      </w:pPr>
      <w:r w:rsidRPr="00DB5559">
        <w:rPr>
          <w:color w:val="auto"/>
        </w:rPr>
        <w:t xml:space="preserve">(d) </w:t>
      </w:r>
      <w:r w:rsidR="00DA7696">
        <w:rPr>
          <w:color w:val="auto"/>
        </w:rPr>
        <w:t>“</w:t>
      </w:r>
      <w:r w:rsidRPr="00DB5559">
        <w:rPr>
          <w:color w:val="auto"/>
        </w:rPr>
        <w:t>Board</w:t>
      </w:r>
      <w:r w:rsidR="00DA7696">
        <w:rPr>
          <w:color w:val="auto"/>
        </w:rPr>
        <w:t>”</w:t>
      </w:r>
      <w:r w:rsidRPr="00DB5559">
        <w:rPr>
          <w:color w:val="auto"/>
        </w:rPr>
        <w:t xml:space="preserve"> means the Consolidated Public Retirement Board created pursuant to article ten-d, chapter five of this code.</w:t>
      </w:r>
    </w:p>
    <w:p w14:paraId="6B003A85" w14:textId="14753C0E" w:rsidR="00A63DD0" w:rsidRPr="00DB5559" w:rsidRDefault="00A63DD0" w:rsidP="00DA7696">
      <w:pPr>
        <w:pStyle w:val="SectionBody"/>
        <w:widowControl/>
        <w:rPr>
          <w:color w:val="auto"/>
        </w:rPr>
      </w:pPr>
      <w:r w:rsidRPr="00DB5559">
        <w:rPr>
          <w:color w:val="auto"/>
        </w:rPr>
        <w:t xml:space="preserve">(e) </w:t>
      </w:r>
      <w:r w:rsidR="00DA7696">
        <w:rPr>
          <w:color w:val="auto"/>
        </w:rPr>
        <w:t>“</w:t>
      </w:r>
      <w:r w:rsidRPr="00DB5559">
        <w:rPr>
          <w:color w:val="auto"/>
        </w:rPr>
        <w:t>Final average salary</w:t>
      </w:r>
      <w:r w:rsidR="00DA7696">
        <w:rPr>
          <w:color w:val="auto"/>
        </w:rPr>
        <w:t>”</w:t>
      </w:r>
      <w:r w:rsidRPr="00DB5559">
        <w:rPr>
          <w:color w:val="auto"/>
        </w:rPr>
        <w:t xml:space="preserve"> means the average of the highest </w:t>
      </w:r>
      <w:r w:rsidR="00193EEE" w:rsidRPr="00DB5559">
        <w:rPr>
          <w:color w:val="auto"/>
        </w:rPr>
        <w:t>36</w:t>
      </w:r>
      <w:r w:rsidRPr="00DB5559">
        <w:rPr>
          <w:color w:val="auto"/>
        </w:rPr>
        <w:t xml:space="preserve"> consecutive months</w:t>
      </w:r>
      <w:r w:rsidR="00DA7696">
        <w:rPr>
          <w:color w:val="auto"/>
        </w:rPr>
        <w:t>’</w:t>
      </w:r>
      <w:r w:rsidRPr="00DB5559">
        <w:rPr>
          <w:color w:val="auto"/>
        </w:rPr>
        <w:t xml:space="preserve"> compensation received by the member as a judge of any court of record of this state.</w:t>
      </w:r>
    </w:p>
    <w:p w14:paraId="02D1E7DF" w14:textId="0BD1DCC2" w:rsidR="00A63DD0" w:rsidRPr="00DB5559" w:rsidRDefault="00A63DD0" w:rsidP="00DA7696">
      <w:pPr>
        <w:pStyle w:val="SectionBody"/>
        <w:widowControl/>
        <w:rPr>
          <w:color w:val="auto"/>
        </w:rPr>
      </w:pPr>
      <w:r w:rsidRPr="00DB5559">
        <w:rPr>
          <w:color w:val="auto"/>
        </w:rPr>
        <w:t xml:space="preserve">(f) </w:t>
      </w:r>
      <w:r w:rsidR="00DA7696">
        <w:rPr>
          <w:color w:val="auto"/>
        </w:rPr>
        <w:t>“</w:t>
      </w:r>
      <w:r w:rsidRPr="00DB5559">
        <w:rPr>
          <w:color w:val="auto"/>
        </w:rPr>
        <w:t>Internal Revenue Code</w:t>
      </w:r>
      <w:r w:rsidR="00DA7696">
        <w:rPr>
          <w:color w:val="auto"/>
        </w:rPr>
        <w:t>”</w:t>
      </w:r>
      <w:r w:rsidRPr="00DB5559">
        <w:rPr>
          <w:color w:val="auto"/>
        </w:rPr>
        <w:t xml:space="preserve"> means the Internal Revenue Code of 1986, as it has been amended.</w:t>
      </w:r>
    </w:p>
    <w:p w14:paraId="49B90AB0" w14:textId="14ABD2FE" w:rsidR="00A63DD0" w:rsidRPr="00DB5559" w:rsidRDefault="00A63DD0" w:rsidP="00DA7696">
      <w:pPr>
        <w:pStyle w:val="SectionBody"/>
        <w:widowControl/>
        <w:rPr>
          <w:color w:val="auto"/>
        </w:rPr>
      </w:pPr>
      <w:r w:rsidRPr="00DB5559">
        <w:rPr>
          <w:color w:val="auto"/>
        </w:rPr>
        <w:t xml:space="preserve">(g) </w:t>
      </w:r>
      <w:r w:rsidR="00DA7696">
        <w:rPr>
          <w:color w:val="auto"/>
        </w:rPr>
        <w:t>“</w:t>
      </w:r>
      <w:r w:rsidRPr="00DB5559">
        <w:rPr>
          <w:color w:val="auto"/>
        </w:rPr>
        <w:t>Member</w:t>
      </w:r>
      <w:r w:rsidR="00DA7696">
        <w:rPr>
          <w:color w:val="auto"/>
        </w:rPr>
        <w:t>”</w:t>
      </w:r>
      <w:r w:rsidRPr="00DB5559">
        <w:rPr>
          <w:color w:val="auto"/>
        </w:rPr>
        <w:t xml:space="preserve"> means a judge participating in this system.</w:t>
      </w:r>
    </w:p>
    <w:p w14:paraId="5ADBD004" w14:textId="7BD60E1E" w:rsidR="00A63DD0" w:rsidRPr="00DB5559" w:rsidRDefault="00A63DD0" w:rsidP="00DA7696">
      <w:pPr>
        <w:pStyle w:val="SectionBody"/>
        <w:widowControl/>
        <w:rPr>
          <w:color w:val="auto"/>
        </w:rPr>
      </w:pPr>
      <w:r w:rsidRPr="00DB5559">
        <w:rPr>
          <w:color w:val="auto"/>
        </w:rPr>
        <w:t xml:space="preserve">(h) </w:t>
      </w:r>
      <w:r w:rsidR="00DA7696">
        <w:rPr>
          <w:color w:val="auto"/>
        </w:rPr>
        <w:t>“</w:t>
      </w:r>
      <w:r w:rsidRPr="00DB5559">
        <w:rPr>
          <w:color w:val="auto"/>
        </w:rPr>
        <w:t>Plan year</w:t>
      </w:r>
      <w:r w:rsidR="00DA7696">
        <w:rPr>
          <w:color w:val="auto"/>
        </w:rPr>
        <w:t>”</w:t>
      </w:r>
      <w:r w:rsidRPr="00DB5559">
        <w:rPr>
          <w:color w:val="auto"/>
        </w:rPr>
        <w:t xml:space="preserve"> means the </w:t>
      </w:r>
      <w:r w:rsidR="004D6BAE">
        <w:rPr>
          <w:color w:val="auto"/>
        </w:rPr>
        <w:t>12</w:t>
      </w:r>
      <w:r w:rsidRPr="00DB5559">
        <w:rPr>
          <w:color w:val="auto"/>
        </w:rPr>
        <w:t>-month period commencing on July 1 of any designated year and ending the following June 30.</w:t>
      </w:r>
    </w:p>
    <w:p w14:paraId="3DC7FE46" w14:textId="12A7DA19" w:rsidR="00A63DD0" w:rsidRPr="00DB5559" w:rsidRDefault="00A63DD0" w:rsidP="00DA7696">
      <w:pPr>
        <w:pStyle w:val="SectionBody"/>
        <w:widowControl/>
        <w:rPr>
          <w:color w:val="auto"/>
        </w:rPr>
      </w:pPr>
      <w:r w:rsidRPr="00DB5559">
        <w:rPr>
          <w:color w:val="auto"/>
        </w:rPr>
        <w:lastRenderedPageBreak/>
        <w:t>(</w:t>
      </w:r>
      <w:proofErr w:type="spellStart"/>
      <w:r w:rsidRPr="00DB5559">
        <w:rPr>
          <w:color w:val="auto"/>
        </w:rPr>
        <w:t>i</w:t>
      </w:r>
      <w:proofErr w:type="spellEnd"/>
      <w:r w:rsidRPr="00DB5559">
        <w:rPr>
          <w:color w:val="auto"/>
        </w:rPr>
        <w:t xml:space="preserve">) </w:t>
      </w:r>
      <w:r w:rsidR="00DA7696">
        <w:rPr>
          <w:color w:val="auto"/>
        </w:rPr>
        <w:t>“</w:t>
      </w:r>
      <w:r w:rsidRPr="00DB5559">
        <w:rPr>
          <w:color w:val="auto"/>
        </w:rPr>
        <w:t>Required beginning date</w:t>
      </w:r>
      <w:r w:rsidR="00DA7696">
        <w:rPr>
          <w:color w:val="auto"/>
        </w:rPr>
        <w:t>”</w:t>
      </w:r>
      <w:r w:rsidRPr="00DB5559">
        <w:rPr>
          <w:color w:val="auto"/>
        </w:rPr>
        <w:t xml:space="preserve"> means April 1 of the calendar year following the later of: (</w:t>
      </w:r>
      <w:proofErr w:type="spellStart"/>
      <w:r w:rsidRPr="00DB5559">
        <w:rPr>
          <w:color w:val="auto"/>
        </w:rPr>
        <w:t>i</w:t>
      </w:r>
      <w:proofErr w:type="spellEnd"/>
      <w:r w:rsidRPr="00DB5559">
        <w:rPr>
          <w:color w:val="auto"/>
        </w:rPr>
        <w:t xml:space="preserve">) The calendar year in which the member attains age </w:t>
      </w:r>
      <w:r w:rsidR="00193EEE" w:rsidRPr="00DB5559">
        <w:rPr>
          <w:color w:val="auto"/>
        </w:rPr>
        <w:t>70/1/2</w:t>
      </w:r>
      <w:r w:rsidRPr="00DB5559">
        <w:rPr>
          <w:color w:val="auto"/>
        </w:rPr>
        <w:t>; or (ii) the calendar year in which the member retires or otherwise separates from covered employment.</w:t>
      </w:r>
    </w:p>
    <w:p w14:paraId="01CBC707" w14:textId="7599B75E" w:rsidR="009923E5" w:rsidRPr="00DB5559" w:rsidRDefault="00A63DD0" w:rsidP="00DA7696">
      <w:pPr>
        <w:pStyle w:val="SectionBody"/>
        <w:widowControl/>
        <w:rPr>
          <w:rFonts w:cs="Times New Roman"/>
          <w:color w:val="auto"/>
        </w:rPr>
      </w:pPr>
      <w:r w:rsidRPr="00DB5559">
        <w:rPr>
          <w:color w:val="auto"/>
        </w:rPr>
        <w:t xml:space="preserve">(j) </w:t>
      </w:r>
      <w:r w:rsidR="00DA7696">
        <w:rPr>
          <w:color w:val="auto"/>
        </w:rPr>
        <w:t>“</w:t>
      </w:r>
      <w:r w:rsidRPr="00DB5559">
        <w:rPr>
          <w:color w:val="auto"/>
        </w:rPr>
        <w:t>Retirement system</w:t>
      </w:r>
      <w:r w:rsidR="00DA7696">
        <w:rPr>
          <w:color w:val="auto"/>
        </w:rPr>
        <w:t>”</w:t>
      </w:r>
      <w:r w:rsidRPr="00DB5559">
        <w:rPr>
          <w:color w:val="auto"/>
        </w:rPr>
        <w:t xml:space="preserve"> or </w:t>
      </w:r>
      <w:r w:rsidR="00DA7696">
        <w:rPr>
          <w:color w:val="auto"/>
        </w:rPr>
        <w:t>“</w:t>
      </w:r>
      <w:r w:rsidRPr="00DB5559">
        <w:rPr>
          <w:color w:val="auto"/>
        </w:rPr>
        <w:t>system</w:t>
      </w:r>
      <w:r w:rsidR="00DA7696">
        <w:rPr>
          <w:color w:val="auto"/>
        </w:rPr>
        <w:t>”</w:t>
      </w:r>
      <w:r w:rsidRPr="00DB5559">
        <w:rPr>
          <w:color w:val="auto"/>
        </w:rPr>
        <w:t xml:space="preserve"> means the Judges</w:t>
      </w:r>
      <w:r w:rsidR="00DA7696">
        <w:rPr>
          <w:color w:val="auto"/>
        </w:rPr>
        <w:t>’</w:t>
      </w:r>
      <w:r w:rsidRPr="00DB5559">
        <w:rPr>
          <w:color w:val="auto"/>
        </w:rPr>
        <w:t xml:space="preserve"> Retirement System created and established by this article. Notwithstanding any other provision of law to the contrary, the provisions of this article are applicable only to </w:t>
      </w:r>
      <w:r w:rsidR="003970E0" w:rsidRPr="00DB5559">
        <w:rPr>
          <w:color w:val="auto"/>
          <w:u w:val="single"/>
        </w:rPr>
        <w:t>family court judges,</w:t>
      </w:r>
      <w:r w:rsidR="003970E0" w:rsidRPr="00DB5559">
        <w:rPr>
          <w:color w:val="auto"/>
        </w:rPr>
        <w:t xml:space="preserve"> </w:t>
      </w:r>
      <w:r w:rsidRPr="00DB5559">
        <w:rPr>
          <w:color w:val="auto"/>
        </w:rPr>
        <w:t>circuit judges</w:t>
      </w:r>
      <w:r w:rsidR="004D6BAE">
        <w:rPr>
          <w:color w:val="auto"/>
        </w:rPr>
        <w:t>,</w:t>
      </w:r>
      <w:r w:rsidRPr="00DB5559">
        <w:rPr>
          <w:color w:val="auto"/>
        </w:rPr>
        <w:t xml:space="preserve"> </w:t>
      </w:r>
      <w:r w:rsidR="004D6BAE">
        <w:rPr>
          <w:color w:val="auto"/>
        </w:rPr>
        <w:t xml:space="preserve">judges of the intermediate court of appeals </w:t>
      </w:r>
      <w:r w:rsidRPr="00DB5559">
        <w:rPr>
          <w:color w:val="auto"/>
        </w:rPr>
        <w:t xml:space="preserve">and justices of the Supreme Court of Appeals in the manner specified in this article. </w:t>
      </w:r>
      <w:r w:rsidRPr="00DB5559">
        <w:rPr>
          <w:strike/>
          <w:color w:val="auto"/>
        </w:rPr>
        <w:t>No service as a family court judge may be construed to qualify a person to participate in the Judges</w:t>
      </w:r>
      <w:r w:rsidR="00DA7696">
        <w:rPr>
          <w:strike/>
          <w:color w:val="auto"/>
        </w:rPr>
        <w:t>’</w:t>
      </w:r>
      <w:r w:rsidRPr="00DB5559">
        <w:rPr>
          <w:strike/>
          <w:color w:val="auto"/>
        </w:rPr>
        <w:t xml:space="preserve"> Retirement System or used in any manner as credit toward eligibility for retirement benefits under the Judges</w:t>
      </w:r>
      <w:r w:rsidR="00DA7696">
        <w:rPr>
          <w:strike/>
          <w:color w:val="auto"/>
        </w:rPr>
        <w:t>’</w:t>
      </w:r>
      <w:r w:rsidR="00D45EDF" w:rsidRPr="00DB5559">
        <w:rPr>
          <w:strike/>
          <w:color w:val="auto"/>
        </w:rPr>
        <w:t xml:space="preserve"> Retirement System</w:t>
      </w:r>
    </w:p>
    <w:p w14:paraId="3C728E95" w14:textId="7A977BAB" w:rsidR="009923E5" w:rsidRPr="00DB5559" w:rsidRDefault="009923E5" w:rsidP="00DA7696">
      <w:pPr>
        <w:rPr>
          <w:color w:val="auto"/>
        </w:rPr>
        <w:sectPr w:rsidR="009923E5" w:rsidRPr="00DB5559" w:rsidSect="00CC7326">
          <w:type w:val="continuous"/>
          <w:pgSz w:w="12240" w:h="15840"/>
          <w:pgMar w:top="1440" w:right="1440" w:bottom="1440" w:left="1440" w:header="720" w:footer="720" w:gutter="0"/>
          <w:lnNumType w:countBy="1" w:restart="newSection"/>
          <w:cols w:space="720"/>
          <w:noEndnote/>
          <w:docGrid w:linePitch="326"/>
        </w:sectPr>
      </w:pPr>
    </w:p>
    <w:p w14:paraId="11D4CB17" w14:textId="77777777" w:rsidR="003970E0" w:rsidRPr="00DB5559" w:rsidRDefault="003970E0" w:rsidP="00DA7696">
      <w:pPr>
        <w:pStyle w:val="Note"/>
        <w:widowControl/>
        <w:rPr>
          <w:color w:val="auto"/>
        </w:rPr>
      </w:pPr>
    </w:p>
    <w:p w14:paraId="2B7FE67B" w14:textId="7014A3B4" w:rsidR="006865E9" w:rsidRPr="00DB5559" w:rsidRDefault="00CF1DCA" w:rsidP="00DA7696">
      <w:pPr>
        <w:pStyle w:val="Note"/>
        <w:widowControl/>
        <w:rPr>
          <w:color w:val="auto"/>
        </w:rPr>
      </w:pPr>
      <w:r w:rsidRPr="00DB5559">
        <w:rPr>
          <w:color w:val="auto"/>
        </w:rPr>
        <w:t>NOTE: The</w:t>
      </w:r>
      <w:r w:rsidR="006865E9" w:rsidRPr="00DB5559">
        <w:rPr>
          <w:color w:val="auto"/>
        </w:rPr>
        <w:t xml:space="preserve"> purpose of this bill is to </w:t>
      </w:r>
      <w:r w:rsidR="003970E0" w:rsidRPr="00DB5559">
        <w:rPr>
          <w:color w:val="auto"/>
        </w:rPr>
        <w:t>include family court judges in the Judges</w:t>
      </w:r>
      <w:r w:rsidR="00DA7696">
        <w:rPr>
          <w:color w:val="auto"/>
        </w:rPr>
        <w:t>’</w:t>
      </w:r>
      <w:r w:rsidR="003970E0" w:rsidRPr="00DB5559">
        <w:rPr>
          <w:color w:val="auto"/>
        </w:rPr>
        <w:t xml:space="preserve"> Retirement System.</w:t>
      </w:r>
    </w:p>
    <w:p w14:paraId="64B9CE34" w14:textId="77777777" w:rsidR="006865E9" w:rsidRPr="00DB5559" w:rsidRDefault="00AE48A0" w:rsidP="00DA7696">
      <w:pPr>
        <w:pStyle w:val="Note"/>
        <w:widowControl/>
        <w:rPr>
          <w:color w:val="auto"/>
        </w:rPr>
      </w:pPr>
      <w:proofErr w:type="gramStart"/>
      <w:r w:rsidRPr="00DB5559">
        <w:rPr>
          <w:color w:val="auto"/>
        </w:rPr>
        <w:t>Strike-throughs</w:t>
      </w:r>
      <w:proofErr w:type="gramEnd"/>
      <w:r w:rsidRPr="00DB5559">
        <w:rPr>
          <w:color w:val="auto"/>
        </w:rPr>
        <w:t xml:space="preserve"> indicate language that would be stricken from a heading or the present law and underscoring indicates new language that would be added.</w:t>
      </w:r>
    </w:p>
    <w:sectPr w:rsidR="006865E9" w:rsidRPr="00DB5559" w:rsidSect="00CC73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7623" w14:textId="77777777" w:rsidR="006369EB" w:rsidRPr="00B844FE" w:rsidRDefault="006369EB" w:rsidP="00B844FE">
      <w:r>
        <w:separator/>
      </w:r>
    </w:p>
  </w:endnote>
  <w:endnote w:type="continuationSeparator" w:id="0">
    <w:p w14:paraId="62963E3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8D2A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A9E6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0378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55B6" w14:textId="77777777" w:rsidR="006369EB" w:rsidRPr="00B844FE" w:rsidRDefault="006369EB" w:rsidP="00B844FE">
      <w:r>
        <w:separator/>
      </w:r>
    </w:p>
  </w:footnote>
  <w:footnote w:type="continuationSeparator" w:id="0">
    <w:p w14:paraId="07B1D452"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116C" w14:textId="77777777" w:rsidR="002A0269" w:rsidRPr="00B844FE" w:rsidRDefault="00DA769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6184" w14:textId="11F40C39" w:rsidR="00C33014" w:rsidRPr="00C33014" w:rsidRDefault="00AE48A0" w:rsidP="000573A9">
    <w:pPr>
      <w:pStyle w:val="HeaderStyle"/>
    </w:pPr>
    <w:r w:rsidRPr="00DA7696">
      <w:rPr>
        <w:sz w:val="22"/>
        <w:szCs w:val="22"/>
      </w:rPr>
      <w:t>I</w:t>
    </w:r>
    <w:r w:rsidR="001A66B7" w:rsidRPr="00DA7696">
      <w:rPr>
        <w:sz w:val="22"/>
        <w:szCs w:val="22"/>
      </w:rPr>
      <w:t>ntr</w:t>
    </w:r>
    <w:r w:rsidR="00DA7696" w:rsidRPr="00DA7696">
      <w:rPr>
        <w:sz w:val="22"/>
        <w:szCs w:val="22"/>
      </w:rPr>
      <w:t>oduced</w:t>
    </w:r>
    <w:sdt>
      <w:sdtPr>
        <w:rPr>
          <w:sz w:val="22"/>
          <w:szCs w:val="22"/>
        </w:rPr>
        <w:tag w:val="BNumWH"/>
        <w:id w:val="138549797"/>
        <w:placeholder>
          <w:docPart w:val="99207DA6B7C640D79DC31D37F83451F5"/>
        </w:placeholder>
        <w:showingPlcHdr/>
        <w:text/>
      </w:sdtPr>
      <w:sdtEndPr/>
      <w:sdtContent/>
    </w:sdt>
    <w:r w:rsidR="007A5259" w:rsidRPr="00DA7696">
      <w:rPr>
        <w:sz w:val="22"/>
        <w:szCs w:val="22"/>
      </w:rPr>
      <w:t xml:space="preserve"> </w:t>
    </w:r>
    <w:r w:rsidR="00B544A9" w:rsidRPr="00DA7696">
      <w:rPr>
        <w:sz w:val="22"/>
        <w:szCs w:val="22"/>
      </w:rPr>
      <w:t>HB</w:t>
    </w:r>
    <w:r w:rsidR="00DA7696" w:rsidRPr="00DA7696">
      <w:rPr>
        <w:sz w:val="22"/>
        <w:szCs w:val="22"/>
      </w:rPr>
      <w:t xml:space="preserve"> 2300</w:t>
    </w:r>
    <w:r w:rsidR="00C33014" w:rsidRPr="002A0269">
      <w:ptab w:relativeTo="margin" w:alignment="center" w:leader="none"/>
    </w:r>
    <w:r w:rsidR="00C33014">
      <w:tab/>
    </w:r>
    <w:sdt>
      <w:sdtPr>
        <w:alias w:val="CBD Number"/>
        <w:tag w:val="CBD Number"/>
        <w:id w:val="1176923086"/>
        <w:lock w:val="sdtLocked"/>
        <w:showingPlcHdr/>
        <w:text/>
      </w:sdtPr>
      <w:sdtEndPr/>
      <w:sdtContent>
        <w:r w:rsidR="00DA7696">
          <w:t xml:space="preserve">     </w:t>
        </w:r>
      </w:sdtContent>
    </w:sdt>
  </w:p>
  <w:p w14:paraId="0AEDF3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3B87" w14:textId="133EF74F" w:rsidR="002A0269" w:rsidRPr="002A0269" w:rsidRDefault="00DA7696" w:rsidP="00CC1F3B">
    <w:pPr>
      <w:pStyle w:val="HeaderStyle"/>
    </w:pPr>
    <w:sdt>
      <w:sdtPr>
        <w:tag w:val="BNumWH"/>
        <w:id w:val="-1890952866"/>
        <w:placeholder>
          <w:docPart w:val="65F964539860449F9EF0E008B6D0C71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rI0tzQ3MDMxsTBQ0lEKTi0uzszPAykwrAUAijVx6SwAAAA="/>
  </w:docVars>
  <w:rsids>
    <w:rsidRoot w:val="000E3912"/>
    <w:rsid w:val="0000526A"/>
    <w:rsid w:val="000573A9"/>
    <w:rsid w:val="00085D22"/>
    <w:rsid w:val="000B660E"/>
    <w:rsid w:val="000C5C77"/>
    <w:rsid w:val="000E3912"/>
    <w:rsid w:val="0010070F"/>
    <w:rsid w:val="0015112E"/>
    <w:rsid w:val="001552E7"/>
    <w:rsid w:val="001566B4"/>
    <w:rsid w:val="00167DE0"/>
    <w:rsid w:val="00193EEE"/>
    <w:rsid w:val="001A66B7"/>
    <w:rsid w:val="001C279E"/>
    <w:rsid w:val="001D459E"/>
    <w:rsid w:val="0027011C"/>
    <w:rsid w:val="00274200"/>
    <w:rsid w:val="00275740"/>
    <w:rsid w:val="002A0269"/>
    <w:rsid w:val="00303684"/>
    <w:rsid w:val="003143F5"/>
    <w:rsid w:val="00314854"/>
    <w:rsid w:val="00357A7F"/>
    <w:rsid w:val="00394191"/>
    <w:rsid w:val="003970E0"/>
    <w:rsid w:val="003B40D6"/>
    <w:rsid w:val="003C51CD"/>
    <w:rsid w:val="00424AB7"/>
    <w:rsid w:val="004368E0"/>
    <w:rsid w:val="004C13DD"/>
    <w:rsid w:val="004D6BAE"/>
    <w:rsid w:val="004E3441"/>
    <w:rsid w:val="00500579"/>
    <w:rsid w:val="005336A0"/>
    <w:rsid w:val="00562557"/>
    <w:rsid w:val="0057223B"/>
    <w:rsid w:val="005A5366"/>
    <w:rsid w:val="005D6324"/>
    <w:rsid w:val="006369EB"/>
    <w:rsid w:val="00637E73"/>
    <w:rsid w:val="006865E9"/>
    <w:rsid w:val="00691F3E"/>
    <w:rsid w:val="00694BFB"/>
    <w:rsid w:val="006A106B"/>
    <w:rsid w:val="006C523D"/>
    <w:rsid w:val="006D4036"/>
    <w:rsid w:val="006D7DAD"/>
    <w:rsid w:val="00706083"/>
    <w:rsid w:val="00740979"/>
    <w:rsid w:val="00773470"/>
    <w:rsid w:val="007A5259"/>
    <w:rsid w:val="007A7081"/>
    <w:rsid w:val="007F1CF5"/>
    <w:rsid w:val="00834EDE"/>
    <w:rsid w:val="008736AA"/>
    <w:rsid w:val="008D275D"/>
    <w:rsid w:val="00980327"/>
    <w:rsid w:val="00986478"/>
    <w:rsid w:val="009923E5"/>
    <w:rsid w:val="009B5557"/>
    <w:rsid w:val="009F1067"/>
    <w:rsid w:val="009F2178"/>
    <w:rsid w:val="00A31E01"/>
    <w:rsid w:val="00A527AD"/>
    <w:rsid w:val="00A63DD0"/>
    <w:rsid w:val="00A718CF"/>
    <w:rsid w:val="00AA4762"/>
    <w:rsid w:val="00AE48A0"/>
    <w:rsid w:val="00AE61BE"/>
    <w:rsid w:val="00B13C30"/>
    <w:rsid w:val="00B16F25"/>
    <w:rsid w:val="00B24422"/>
    <w:rsid w:val="00B34C8F"/>
    <w:rsid w:val="00B544A9"/>
    <w:rsid w:val="00B66B81"/>
    <w:rsid w:val="00B80C20"/>
    <w:rsid w:val="00B844FE"/>
    <w:rsid w:val="00B86B4F"/>
    <w:rsid w:val="00BA1F84"/>
    <w:rsid w:val="00BC562B"/>
    <w:rsid w:val="00C14B34"/>
    <w:rsid w:val="00C33014"/>
    <w:rsid w:val="00C33434"/>
    <w:rsid w:val="00C34869"/>
    <w:rsid w:val="00C42EB6"/>
    <w:rsid w:val="00C85096"/>
    <w:rsid w:val="00CA4ADD"/>
    <w:rsid w:val="00CB20EF"/>
    <w:rsid w:val="00CC1F3B"/>
    <w:rsid w:val="00CC7326"/>
    <w:rsid w:val="00CD12CB"/>
    <w:rsid w:val="00CD36CF"/>
    <w:rsid w:val="00CF1DCA"/>
    <w:rsid w:val="00D45EDF"/>
    <w:rsid w:val="00D579FC"/>
    <w:rsid w:val="00D81C16"/>
    <w:rsid w:val="00DA7696"/>
    <w:rsid w:val="00DA78C7"/>
    <w:rsid w:val="00DB5559"/>
    <w:rsid w:val="00DE526B"/>
    <w:rsid w:val="00DF199D"/>
    <w:rsid w:val="00E01542"/>
    <w:rsid w:val="00E02B32"/>
    <w:rsid w:val="00E365F1"/>
    <w:rsid w:val="00E62F48"/>
    <w:rsid w:val="00E831B3"/>
    <w:rsid w:val="00E95FBC"/>
    <w:rsid w:val="00EE70CB"/>
    <w:rsid w:val="00EF34F5"/>
    <w:rsid w:val="00F41CA2"/>
    <w:rsid w:val="00F443C0"/>
    <w:rsid w:val="00F62EFB"/>
    <w:rsid w:val="00F757B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DE8486"/>
  <w15:chartTrackingRefBased/>
  <w15:docId w15:val="{EB9D0D06-FE52-4267-9A93-E34B2C2C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3DD0"/>
    <w:rPr>
      <w:rFonts w:eastAsia="Calibri"/>
      <w:b/>
      <w:caps/>
      <w:color w:val="000000"/>
      <w:sz w:val="24"/>
    </w:rPr>
  </w:style>
  <w:style w:type="paragraph" w:styleId="BalloonText">
    <w:name w:val="Balloon Text"/>
    <w:basedOn w:val="Normal"/>
    <w:link w:val="BalloonTextChar"/>
    <w:uiPriority w:val="99"/>
    <w:semiHidden/>
    <w:unhideWhenUsed/>
    <w:locked/>
    <w:rsid w:val="005336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9207DA6B7C640D79DC31D37F83451F5"/>
        <w:category>
          <w:name w:val="General"/>
          <w:gallery w:val="placeholder"/>
        </w:category>
        <w:types>
          <w:type w:val="bbPlcHdr"/>
        </w:types>
        <w:behaviors>
          <w:behavior w:val="content"/>
        </w:behaviors>
        <w:guid w:val="{D8A07699-50DF-4A82-AF19-A2C3DC9BDCF5}"/>
      </w:docPartPr>
      <w:docPartBody>
        <w:p w:rsidR="00D63A79" w:rsidRDefault="00D63A79"/>
      </w:docPartBody>
    </w:docPart>
    <w:docPart>
      <w:docPartPr>
        <w:name w:val="65F964539860449F9EF0E008B6D0C710"/>
        <w:category>
          <w:name w:val="General"/>
          <w:gallery w:val="placeholder"/>
        </w:category>
        <w:types>
          <w:type w:val="bbPlcHdr"/>
        </w:types>
        <w:behaviors>
          <w:behavior w:val="content"/>
        </w:behaviors>
        <w:guid w:val="{DD7F5351-B161-49F0-BD21-AE7B794C1790}"/>
      </w:docPartPr>
      <w:docPartBody>
        <w:p w:rsidR="00D63A79" w:rsidRDefault="00D63A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D1977"/>
    <w:rsid w:val="00D63A79"/>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86EB-C36B-4C3E-8021-67DDFC35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6</cp:revision>
  <cp:lastPrinted>2022-02-11T15:30:00Z</cp:lastPrinted>
  <dcterms:created xsi:type="dcterms:W3CDTF">2021-02-10T15:20:00Z</dcterms:created>
  <dcterms:modified xsi:type="dcterms:W3CDTF">2022-02-25T19:35:00Z</dcterms:modified>
</cp:coreProperties>
</file>